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9C25B2"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621"/>
        <w:gridCol w:w="4698"/>
      </w:tblGrid>
      <w:tr w:rsidR="00586F20" w:rsidRPr="00E73D2F" w:rsidTr="00690601">
        <w:tc>
          <w:tcPr>
            <w:tcW w:w="4361" w:type="dxa"/>
            <w:gridSpan w:val="2"/>
            <w:shd w:val="clear" w:color="auto" w:fill="auto"/>
          </w:tcPr>
          <w:p w:rsidR="009D72AA" w:rsidRPr="00E73D2F" w:rsidRDefault="009D72AA" w:rsidP="00422E4F">
            <w:pPr>
              <w:rPr>
                <w:rFonts w:ascii="Arial" w:hAnsi="Arial"/>
              </w:rPr>
            </w:pPr>
            <w:r w:rsidRPr="00E73D2F">
              <w:rPr>
                <w:rFonts w:ascii="Arial" w:hAnsi="Arial"/>
                <w:b/>
              </w:rPr>
              <w:t>Officer:</w:t>
            </w:r>
            <w:r w:rsidR="00683C20">
              <w:rPr>
                <w:rFonts w:ascii="Arial" w:hAnsi="Arial"/>
                <w:b/>
              </w:rPr>
              <w:t xml:space="preserve"> </w:t>
            </w:r>
            <w:r w:rsidR="00422E4F">
              <w:rPr>
                <w:rFonts w:ascii="Arial" w:hAnsi="Arial"/>
              </w:rPr>
              <w:t>Sarah Troman</w:t>
            </w:r>
            <w:r w:rsidR="00FC6AFD">
              <w:rPr>
                <w:rFonts w:ascii="Arial" w:hAnsi="Arial"/>
              </w:rPr>
              <w:t xml:space="preserve"> and David Evans</w:t>
            </w:r>
          </w:p>
        </w:tc>
        <w:tc>
          <w:tcPr>
            <w:tcW w:w="4754" w:type="dxa"/>
            <w:shd w:val="clear" w:color="auto" w:fill="auto"/>
          </w:tcPr>
          <w:p w:rsidR="00E74CDA" w:rsidRDefault="00586F20" w:rsidP="00373837">
            <w:pPr>
              <w:rPr>
                <w:rFonts w:ascii="Arial" w:hAnsi="Arial"/>
                <w:b/>
              </w:rPr>
            </w:pPr>
            <w:r w:rsidRPr="00E73D2F">
              <w:rPr>
                <w:rFonts w:ascii="Arial" w:hAnsi="Arial"/>
                <w:b/>
              </w:rPr>
              <w:t>Date of Decision:</w:t>
            </w:r>
            <w:r w:rsidR="00CE022F">
              <w:rPr>
                <w:rFonts w:ascii="Arial" w:hAnsi="Arial"/>
                <w:b/>
              </w:rPr>
              <w:t xml:space="preserve"> </w:t>
            </w:r>
            <w:r w:rsidR="00422E4F">
              <w:rPr>
                <w:rFonts w:ascii="Arial" w:hAnsi="Arial"/>
              </w:rPr>
              <w:t>26/5/22</w:t>
            </w:r>
          </w:p>
          <w:p w:rsidR="00136429" w:rsidRPr="00E73D2F" w:rsidRDefault="00136429" w:rsidP="00373837">
            <w:pPr>
              <w:rPr>
                <w:rFonts w:ascii="Arial" w:hAnsi="Arial"/>
              </w:rPr>
            </w:pPr>
          </w:p>
        </w:tc>
      </w:tr>
      <w:tr w:rsidR="00586F20" w:rsidRPr="00E73D2F" w:rsidTr="00690601">
        <w:tc>
          <w:tcPr>
            <w:tcW w:w="9115" w:type="dxa"/>
            <w:gridSpan w:val="3"/>
            <w:shd w:val="clear" w:color="auto" w:fill="auto"/>
          </w:tcPr>
          <w:p w:rsidR="00957E23" w:rsidRDefault="00586F20" w:rsidP="00353A11">
            <w:pPr>
              <w:rPr>
                <w:rFonts w:ascii="Arial" w:hAnsi="Arial"/>
                <w:b/>
              </w:rPr>
            </w:pPr>
            <w:r w:rsidRPr="00E73D2F">
              <w:rPr>
                <w:rFonts w:ascii="Arial" w:hAnsi="Arial"/>
                <w:b/>
              </w:rPr>
              <w:t xml:space="preserve">Title/Reference: </w:t>
            </w:r>
            <w:r w:rsidR="00154649" w:rsidRPr="00422E4F">
              <w:rPr>
                <w:rFonts w:ascii="Arial" w:hAnsi="Arial"/>
              </w:rPr>
              <w:t xml:space="preserve"> </w:t>
            </w:r>
            <w:r w:rsidR="00422E4F" w:rsidRPr="00422E4F">
              <w:rPr>
                <w:rFonts w:ascii="Arial" w:hAnsi="Arial"/>
              </w:rPr>
              <w:t xml:space="preserve">To proceed with design and </w:t>
            </w:r>
            <w:r w:rsidR="00353A11" w:rsidRPr="00422E4F">
              <w:rPr>
                <w:rFonts w:ascii="Arial" w:hAnsi="Arial"/>
              </w:rPr>
              <w:t>procurement for installing Changing Places in Mansfield Museum</w:t>
            </w:r>
            <w:r w:rsidR="00422E4F" w:rsidRPr="00422E4F">
              <w:rPr>
                <w:rFonts w:ascii="Arial" w:hAnsi="Arial"/>
              </w:rPr>
              <w:t>, Berry Hill Park</w:t>
            </w:r>
            <w:r w:rsidR="00353A11" w:rsidRPr="00422E4F">
              <w:rPr>
                <w:rFonts w:ascii="Arial" w:hAnsi="Arial"/>
              </w:rPr>
              <w:t xml:space="preserve"> and the Four Seasons.</w:t>
            </w:r>
            <w:r w:rsidR="00353A11">
              <w:rPr>
                <w:rFonts w:ascii="Arial" w:hAnsi="Arial"/>
                <w:b/>
              </w:rPr>
              <w:t xml:space="preserve"> </w:t>
            </w:r>
          </w:p>
          <w:p w:rsidR="006F3EC8" w:rsidRDefault="006F3EC8" w:rsidP="00122023">
            <w:pPr>
              <w:rPr>
                <w:rFonts w:ascii="Arial" w:hAnsi="Arial"/>
                <w:b/>
              </w:rPr>
            </w:pPr>
          </w:p>
          <w:p w:rsidR="00E74CDA" w:rsidRPr="00957E23" w:rsidRDefault="00557B22" w:rsidP="00422E4F">
            <w:pPr>
              <w:rPr>
                <w:rFonts w:ascii="Arial" w:hAnsi="Arial"/>
                <w:b/>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473910" w:rsidRPr="00473910">
              <w:rPr>
                <w:rFonts w:ascii="Arial" w:hAnsi="Arial"/>
              </w:rPr>
              <w:t>22/37/NS</w:t>
            </w:r>
            <w:r w:rsidR="00473910">
              <w:rPr>
                <w:rFonts w:ascii="Arial" w:hAnsi="Arial"/>
              </w:rPr>
              <w:t xml:space="preserve"> &amp; 22/25/HC</w:t>
            </w:r>
          </w:p>
        </w:tc>
      </w:tr>
      <w:tr w:rsidR="00586F20" w:rsidRPr="00E73D2F" w:rsidTr="00690601">
        <w:tc>
          <w:tcPr>
            <w:tcW w:w="9115" w:type="dxa"/>
            <w:gridSpan w:val="3"/>
            <w:shd w:val="clear" w:color="auto" w:fill="auto"/>
          </w:tcPr>
          <w:p w:rsidR="00E74CDA"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690601">
              <w:rPr>
                <w:rFonts w:ascii="Arial" w:hAnsi="Arial"/>
                <w:b/>
              </w:rPr>
              <w:t xml:space="preserve"> </w:t>
            </w:r>
            <w:r w:rsidR="00690601" w:rsidRPr="00690601">
              <w:rPr>
                <w:rFonts w:ascii="Arial" w:hAnsi="Arial"/>
              </w:rPr>
              <w:t>Not applicable</w:t>
            </w:r>
          </w:p>
          <w:p w:rsidR="00683C20" w:rsidRPr="00E73D2F" w:rsidRDefault="00683C20" w:rsidP="00E524AE">
            <w:pPr>
              <w:rPr>
                <w:rFonts w:ascii="Arial" w:hAnsi="Arial"/>
              </w:rPr>
            </w:pPr>
          </w:p>
        </w:tc>
      </w:tr>
      <w:tr w:rsidR="00586F20" w:rsidRPr="00E73D2F" w:rsidTr="00690601">
        <w:tc>
          <w:tcPr>
            <w:tcW w:w="9115" w:type="dxa"/>
            <w:gridSpan w:val="3"/>
            <w:shd w:val="clear" w:color="auto" w:fill="auto"/>
          </w:tcPr>
          <w:p w:rsidR="002A2774" w:rsidRDefault="00586F20" w:rsidP="006F3EC8">
            <w:pPr>
              <w:ind w:left="720" w:hanging="720"/>
              <w:rPr>
                <w:rFonts w:ascii="Arial" w:hAnsi="Arial" w:cs="Arial"/>
              </w:rPr>
            </w:pPr>
            <w:r w:rsidRPr="00E73D2F">
              <w:rPr>
                <w:rFonts w:ascii="Arial" w:hAnsi="Arial"/>
                <w:b/>
              </w:rPr>
              <w:t>Record of Decision</w:t>
            </w:r>
            <w:r w:rsidR="009D72AA" w:rsidRPr="00E73D2F">
              <w:rPr>
                <w:rFonts w:ascii="Arial" w:hAnsi="Arial"/>
                <w:b/>
              </w:rPr>
              <w:t>:</w:t>
            </w:r>
            <w:r w:rsidR="00B12AB2" w:rsidRPr="00576369">
              <w:rPr>
                <w:rFonts w:ascii="Arial" w:hAnsi="Arial" w:cs="Arial"/>
              </w:rPr>
              <w:t xml:space="preserve"> </w:t>
            </w:r>
          </w:p>
          <w:p w:rsidR="002A2774" w:rsidRDefault="002A2774" w:rsidP="00813513">
            <w:pPr>
              <w:rPr>
                <w:rFonts w:ascii="Arial" w:hAnsi="Arial" w:cs="Arial"/>
              </w:rPr>
            </w:pPr>
          </w:p>
          <w:p w:rsidR="00905995" w:rsidRDefault="004C1D6E" w:rsidP="004C1D6E">
            <w:pPr>
              <w:rPr>
                <w:rFonts w:ascii="Arial" w:hAnsi="Arial" w:cs="Arial"/>
              </w:rPr>
            </w:pPr>
            <w:r>
              <w:rPr>
                <w:rFonts w:ascii="Arial" w:hAnsi="Arial" w:cs="Arial"/>
              </w:rPr>
              <w:t>To proceed with design throu</w:t>
            </w:r>
            <w:r w:rsidR="00905995">
              <w:rPr>
                <w:rFonts w:ascii="Arial" w:hAnsi="Arial" w:cs="Arial"/>
              </w:rPr>
              <w:t>gh MDC’s Design S</w:t>
            </w:r>
            <w:r>
              <w:rPr>
                <w:rFonts w:ascii="Arial" w:hAnsi="Arial" w:cs="Arial"/>
              </w:rPr>
              <w:t>ervices</w:t>
            </w:r>
            <w:r w:rsidR="00905995">
              <w:rPr>
                <w:rFonts w:ascii="Arial" w:hAnsi="Arial" w:cs="Arial"/>
              </w:rPr>
              <w:t xml:space="preserve"> team</w:t>
            </w:r>
            <w:r>
              <w:rPr>
                <w:rFonts w:ascii="Arial" w:hAnsi="Arial" w:cs="Arial"/>
              </w:rPr>
              <w:t xml:space="preserve"> for a new </w:t>
            </w:r>
            <w:r w:rsidR="00A91405">
              <w:rPr>
                <w:rFonts w:ascii="Arial" w:hAnsi="Arial" w:cs="Arial"/>
              </w:rPr>
              <w:t>Changing Place</w:t>
            </w:r>
            <w:r>
              <w:rPr>
                <w:rFonts w:ascii="Arial" w:hAnsi="Arial" w:cs="Arial"/>
              </w:rPr>
              <w:t xml:space="preserve"> in Mansfield Museum </w:t>
            </w:r>
            <w:r w:rsidR="00A91405">
              <w:rPr>
                <w:rFonts w:ascii="Arial" w:hAnsi="Arial" w:cs="Arial"/>
              </w:rPr>
              <w:t xml:space="preserve">and </w:t>
            </w:r>
            <w:r w:rsidR="00905995">
              <w:rPr>
                <w:rFonts w:ascii="Arial" w:hAnsi="Arial" w:cs="Arial"/>
              </w:rPr>
              <w:t xml:space="preserve">a new </w:t>
            </w:r>
            <w:r w:rsidR="00A91405">
              <w:rPr>
                <w:rFonts w:ascii="Arial" w:hAnsi="Arial" w:cs="Arial"/>
              </w:rPr>
              <w:t>Changing Place</w:t>
            </w:r>
            <w:r w:rsidR="00905995">
              <w:rPr>
                <w:rFonts w:ascii="Arial" w:hAnsi="Arial" w:cs="Arial"/>
              </w:rPr>
              <w:t xml:space="preserve">, breastfeeding room and sensory space in the </w:t>
            </w:r>
            <w:r>
              <w:rPr>
                <w:rFonts w:ascii="Arial" w:hAnsi="Arial" w:cs="Arial"/>
              </w:rPr>
              <w:t>Four Seasons shopping centre</w:t>
            </w:r>
            <w:r w:rsidR="00905995">
              <w:rPr>
                <w:rFonts w:ascii="Arial" w:hAnsi="Arial" w:cs="Arial"/>
              </w:rPr>
              <w:t>.</w:t>
            </w:r>
          </w:p>
          <w:p w:rsidR="00905995" w:rsidRDefault="00905995" w:rsidP="004C1D6E">
            <w:pPr>
              <w:rPr>
                <w:rFonts w:ascii="Arial" w:hAnsi="Arial" w:cs="Arial"/>
              </w:rPr>
            </w:pPr>
          </w:p>
          <w:p w:rsidR="00B77411" w:rsidRDefault="00905995" w:rsidP="00B77411">
            <w:pPr>
              <w:rPr>
                <w:rFonts w:ascii="Arial" w:hAnsi="Arial" w:cs="Arial"/>
              </w:rPr>
            </w:pPr>
            <w:r>
              <w:rPr>
                <w:rFonts w:ascii="Arial" w:hAnsi="Arial" w:cs="Arial"/>
              </w:rPr>
              <w:t xml:space="preserve">To </w:t>
            </w:r>
            <w:r w:rsidR="00A91405">
              <w:rPr>
                <w:rFonts w:ascii="Arial" w:hAnsi="Arial" w:cs="Arial"/>
              </w:rPr>
              <w:t xml:space="preserve">also </w:t>
            </w:r>
            <w:r>
              <w:rPr>
                <w:rFonts w:ascii="Arial" w:hAnsi="Arial" w:cs="Arial"/>
              </w:rPr>
              <w:t xml:space="preserve">proceed with procurement and contracting </w:t>
            </w:r>
            <w:r w:rsidRPr="00905995">
              <w:rPr>
                <w:rFonts w:ascii="Arial" w:hAnsi="Arial" w:cs="Arial"/>
              </w:rPr>
              <w:t>of works for demolition, internal doors, floor finishing, services and fixtures/fittings</w:t>
            </w:r>
            <w:r>
              <w:rPr>
                <w:rFonts w:ascii="Arial" w:hAnsi="Arial" w:cs="Arial"/>
              </w:rPr>
              <w:t xml:space="preserve"> for both </w:t>
            </w:r>
            <w:r w:rsidR="00A91405">
              <w:rPr>
                <w:rFonts w:ascii="Arial" w:hAnsi="Arial" w:cs="Arial"/>
              </w:rPr>
              <w:t>Changing Places and the wider project for the Four Seasons</w:t>
            </w:r>
            <w:r>
              <w:rPr>
                <w:rFonts w:ascii="Arial" w:hAnsi="Arial" w:cs="Arial"/>
              </w:rPr>
              <w:t>.</w:t>
            </w:r>
            <w:r w:rsidR="00B77411">
              <w:rPr>
                <w:rFonts w:ascii="Arial" w:hAnsi="Arial" w:cs="Arial"/>
              </w:rPr>
              <w:t xml:space="preserve"> The works will be procured </w:t>
            </w:r>
            <w:r w:rsidR="00B77411" w:rsidRPr="00B77411">
              <w:rPr>
                <w:rFonts w:ascii="Arial" w:hAnsi="Arial" w:cs="Arial"/>
              </w:rPr>
              <w:t>via Nottingham City Procurement</w:t>
            </w:r>
            <w:r w:rsidR="00B77411">
              <w:rPr>
                <w:rFonts w:ascii="Arial" w:hAnsi="Arial" w:cs="Arial"/>
              </w:rPr>
              <w:t xml:space="preserve"> team.</w:t>
            </w:r>
          </w:p>
          <w:p w:rsidR="004C1D6E" w:rsidRDefault="004C1D6E" w:rsidP="004C1D6E">
            <w:pPr>
              <w:rPr>
                <w:rFonts w:ascii="Arial" w:hAnsi="Arial" w:cs="Arial"/>
              </w:rPr>
            </w:pPr>
          </w:p>
          <w:p w:rsidR="004C1D6E" w:rsidRDefault="004C1D6E" w:rsidP="004C1D6E">
            <w:pPr>
              <w:rPr>
                <w:rFonts w:ascii="Arial" w:hAnsi="Arial" w:cs="Arial"/>
              </w:rPr>
            </w:pPr>
            <w:r>
              <w:rPr>
                <w:rFonts w:ascii="Arial" w:hAnsi="Arial" w:cs="Arial"/>
              </w:rPr>
              <w:t>The decision to install three new Changing Places</w:t>
            </w:r>
            <w:r w:rsidRPr="004C1D6E">
              <w:rPr>
                <w:rFonts w:ascii="Arial" w:hAnsi="Arial" w:cs="Arial"/>
              </w:rPr>
              <w:t xml:space="preserve"> was made </w:t>
            </w:r>
            <w:r>
              <w:rPr>
                <w:rFonts w:ascii="Arial" w:hAnsi="Arial" w:cs="Arial"/>
              </w:rPr>
              <w:t>following the acceptance of a grant award of £180,200 by Department for Levelling Up Housing and Communities. A separate award of £</w:t>
            </w:r>
            <w:r w:rsidRPr="004C1D6E">
              <w:rPr>
                <w:rFonts w:ascii="Arial" w:hAnsi="Arial" w:cs="Arial"/>
              </w:rPr>
              <w:t>32,594.44</w:t>
            </w:r>
            <w:r>
              <w:rPr>
                <w:rFonts w:ascii="Arial" w:hAnsi="Arial" w:cs="Arial"/>
              </w:rPr>
              <w:t xml:space="preserve"> by National Lottery’s Heritage Fund as part </w:t>
            </w:r>
            <w:r w:rsidR="00A91405">
              <w:rPr>
                <w:rFonts w:ascii="Arial" w:hAnsi="Arial" w:cs="Arial"/>
              </w:rPr>
              <w:t>of the Better by Change project match funds Mansfield Museum’s Changing Place. Funds for the</w:t>
            </w:r>
            <w:r w:rsidR="00A91405" w:rsidRPr="004C1D6E">
              <w:rPr>
                <w:rFonts w:ascii="Arial" w:hAnsi="Arial" w:cs="Arial"/>
              </w:rPr>
              <w:t xml:space="preserve"> Four Seasons</w:t>
            </w:r>
            <w:r w:rsidR="00A91405">
              <w:rPr>
                <w:rFonts w:ascii="Arial" w:hAnsi="Arial" w:cs="Arial"/>
              </w:rPr>
              <w:t xml:space="preserve"> shopping centre</w:t>
            </w:r>
            <w:r w:rsidR="00A91405" w:rsidRPr="004C1D6E">
              <w:rPr>
                <w:rFonts w:ascii="Arial" w:hAnsi="Arial" w:cs="Arial"/>
              </w:rPr>
              <w:t xml:space="preserve"> sensory and breastfeeding spaces </w:t>
            </w:r>
            <w:r w:rsidR="00A91405">
              <w:rPr>
                <w:rFonts w:ascii="Arial" w:hAnsi="Arial" w:cs="Arial"/>
              </w:rPr>
              <w:t>have</w:t>
            </w:r>
            <w:r w:rsidR="00A91405" w:rsidRPr="004C1D6E">
              <w:rPr>
                <w:rFonts w:ascii="Arial" w:hAnsi="Arial" w:cs="Arial"/>
              </w:rPr>
              <w:t xml:space="preserve"> already identified through the corporate capital budget</w:t>
            </w:r>
            <w:r w:rsidR="00A91405">
              <w:rPr>
                <w:rFonts w:ascii="Arial" w:hAnsi="Arial" w:cs="Arial"/>
              </w:rPr>
              <w:t xml:space="preserve"> by the Town Centre Manager.</w:t>
            </w:r>
          </w:p>
          <w:p w:rsidR="004C1D6E" w:rsidRDefault="004C1D6E" w:rsidP="004C1D6E">
            <w:pPr>
              <w:rPr>
                <w:rFonts w:ascii="Arial" w:hAnsi="Arial" w:cs="Arial"/>
              </w:rPr>
            </w:pPr>
          </w:p>
          <w:p w:rsidR="00B77411" w:rsidRDefault="004C1D6E" w:rsidP="004C1D6E">
            <w:pPr>
              <w:rPr>
                <w:rFonts w:ascii="Arial" w:hAnsi="Arial" w:cs="Arial"/>
              </w:rPr>
            </w:pPr>
            <w:r>
              <w:rPr>
                <w:rFonts w:ascii="Arial" w:hAnsi="Arial" w:cs="Arial"/>
              </w:rPr>
              <w:t xml:space="preserve">Over 25,000 severely disabled people do not have access to public toilets. These three changing places will enable local people with disabilities to have a more equal opportunity of access to retail and leisure in Mansfield to support district wide health and wellbeing. </w:t>
            </w:r>
          </w:p>
          <w:p w:rsidR="009F5D67" w:rsidRDefault="009F5D67" w:rsidP="004C1D6E">
            <w:pPr>
              <w:rPr>
                <w:rFonts w:ascii="Arial" w:hAnsi="Arial" w:cs="Arial"/>
              </w:rPr>
            </w:pPr>
          </w:p>
          <w:p w:rsidR="009F5D67" w:rsidRDefault="009F5D67" w:rsidP="004C1D6E">
            <w:pPr>
              <w:rPr>
                <w:rFonts w:ascii="Arial" w:hAnsi="Arial" w:cs="Arial"/>
              </w:rPr>
            </w:pPr>
            <w:r>
              <w:rPr>
                <w:rFonts w:ascii="Arial" w:hAnsi="Arial" w:cs="Arial"/>
              </w:rPr>
              <w:t>The officer delegated to award the contracts after the procurement exercise is David Evans for the works relating to Mansfield Museum and Sarah Troman for works relating to the Four Seasons and Berry Hill Park. The corresponding officer will also instruct Legal Services to draw up the contract documentation.</w:t>
            </w:r>
          </w:p>
          <w:p w:rsidR="00E46DDB" w:rsidRPr="006762D7" w:rsidRDefault="00E46DDB" w:rsidP="00B77411">
            <w:pPr>
              <w:rPr>
                <w:rFonts w:ascii="Arial" w:hAnsi="Arial" w:cs="Arial"/>
              </w:rPr>
            </w:pPr>
          </w:p>
        </w:tc>
      </w:tr>
      <w:tr w:rsidR="003D5331" w:rsidRPr="00E73D2F" w:rsidTr="00690601">
        <w:tc>
          <w:tcPr>
            <w:tcW w:w="9115" w:type="dxa"/>
            <w:gridSpan w:val="3"/>
            <w:shd w:val="clear" w:color="auto" w:fill="auto"/>
          </w:tcPr>
          <w:p w:rsidR="003D5331" w:rsidRPr="00E73D2F" w:rsidRDefault="003D5331" w:rsidP="003D5331">
            <w:pPr>
              <w:rPr>
                <w:rFonts w:ascii="Arial" w:hAnsi="Arial"/>
                <w:b/>
              </w:rPr>
            </w:pPr>
            <w:r w:rsidRPr="00E73D2F">
              <w:rPr>
                <w:rFonts w:ascii="Arial" w:hAnsi="Arial"/>
                <w:b/>
              </w:rPr>
              <w:t>Legal Powers / Authority:</w:t>
            </w:r>
            <w:r w:rsidR="00B12AB2">
              <w:rPr>
                <w:rFonts w:ascii="Arial" w:hAnsi="Arial"/>
                <w:b/>
              </w:rPr>
              <w:t xml:space="preserve"> </w:t>
            </w:r>
            <w:r w:rsidR="00B12AB2" w:rsidRPr="00B12AB2">
              <w:rPr>
                <w:rFonts w:ascii="Arial" w:hAnsi="Arial"/>
              </w:rPr>
              <w:t>Dec</w:t>
            </w:r>
            <w:r w:rsidR="00B12AB2">
              <w:rPr>
                <w:rFonts w:ascii="Arial" w:hAnsi="Arial"/>
              </w:rPr>
              <w:t>i</w:t>
            </w:r>
            <w:r w:rsidR="00B12AB2" w:rsidRPr="00B12AB2">
              <w:rPr>
                <w:rFonts w:ascii="Arial" w:hAnsi="Arial"/>
              </w:rPr>
              <w:t xml:space="preserve">sion to be taken by Head of Service </w:t>
            </w:r>
            <w:r w:rsidR="00B12AB2">
              <w:rPr>
                <w:rFonts w:ascii="Arial" w:hAnsi="Arial"/>
              </w:rPr>
              <w:t xml:space="preserve">in accordance with the </w:t>
            </w:r>
            <w:r w:rsidR="00B12AB2" w:rsidRPr="00B12AB2">
              <w:rPr>
                <w:rFonts w:ascii="Arial" w:hAnsi="Arial"/>
              </w:rPr>
              <w:t>Constitution</w:t>
            </w:r>
            <w:r w:rsidR="00B12AB2">
              <w:rPr>
                <w:rFonts w:ascii="Arial" w:hAnsi="Arial"/>
              </w:rPr>
              <w:t>’s delegated powers.</w:t>
            </w:r>
          </w:p>
          <w:p w:rsidR="009B6FB1" w:rsidRPr="00E73D2F" w:rsidRDefault="009B6FB1" w:rsidP="000553E6">
            <w:pPr>
              <w:rPr>
                <w:rFonts w:ascii="Arial" w:hAnsi="Arial"/>
                <w:b/>
              </w:rPr>
            </w:pPr>
          </w:p>
        </w:tc>
      </w:tr>
      <w:tr w:rsidR="00E524AE" w:rsidRPr="00E73D2F" w:rsidTr="00690601">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 xml:space="preserve">You should also consult any other relevant officers if you think the decision will have an impact on </w:t>
            </w:r>
            <w:r w:rsidRPr="00E73D2F">
              <w:rPr>
                <w:rFonts w:ascii="Arial" w:hAnsi="Arial" w:cs="Arial"/>
              </w:rPr>
              <w:lastRenderedPageBreak/>
              <w:t>their areas of responsibility.</w:t>
            </w:r>
          </w:p>
        </w:tc>
        <w:tc>
          <w:tcPr>
            <w:tcW w:w="7418" w:type="dxa"/>
            <w:gridSpan w:val="2"/>
            <w:shd w:val="clear" w:color="auto" w:fill="auto"/>
          </w:tcPr>
          <w:p w:rsidR="004C1D6E" w:rsidRDefault="00E524AE" w:rsidP="008D4EBC">
            <w:pPr>
              <w:rPr>
                <w:rFonts w:ascii="Arial" w:hAnsi="Arial"/>
              </w:rPr>
            </w:pPr>
            <w:r>
              <w:rPr>
                <w:rFonts w:ascii="Arial" w:hAnsi="Arial"/>
                <w:b/>
              </w:rPr>
              <w:lastRenderedPageBreak/>
              <w:t>Relevant Legislation:</w:t>
            </w:r>
            <w:r w:rsidR="00E74CDA">
              <w:rPr>
                <w:rFonts w:ascii="Arial" w:hAnsi="Arial"/>
              </w:rPr>
              <w:t xml:space="preserve"> </w:t>
            </w:r>
          </w:p>
          <w:p w:rsidR="00E524AE" w:rsidRDefault="004C1D6E" w:rsidP="008D4EBC">
            <w:pPr>
              <w:rPr>
                <w:rFonts w:ascii="Arial" w:hAnsi="Arial"/>
              </w:rPr>
            </w:pPr>
            <w:r w:rsidRPr="004C1D6E">
              <w:rPr>
                <w:rFonts w:ascii="Arial" w:hAnsi="Arial"/>
              </w:rPr>
              <w:t>Building Regulations 2010: Equality Act</w:t>
            </w:r>
          </w:p>
          <w:p w:rsidR="004C1D6E" w:rsidRDefault="004C1D6E" w:rsidP="008D4EBC">
            <w:pPr>
              <w:rPr>
                <w:rFonts w:ascii="Arial" w:hAnsi="Arial"/>
              </w:rPr>
            </w:pPr>
            <w:r w:rsidRPr="004C1D6E">
              <w:rPr>
                <w:rFonts w:ascii="Arial" w:hAnsi="Arial"/>
              </w:rPr>
              <w:t>Public Health Act 1936</w:t>
            </w:r>
          </w:p>
          <w:p w:rsidR="004C1D6E" w:rsidRDefault="004C1D6E" w:rsidP="008D4EBC">
            <w:pPr>
              <w:rPr>
                <w:rFonts w:ascii="Arial" w:hAnsi="Arial"/>
              </w:rPr>
            </w:pPr>
            <w:r w:rsidRPr="004C1D6E">
              <w:rPr>
                <w:rFonts w:ascii="Arial" w:hAnsi="Arial"/>
              </w:rPr>
              <w:t>Disability Discrimination Act 1995</w:t>
            </w:r>
          </w:p>
          <w:p w:rsidR="004C1D6E" w:rsidRDefault="004C1D6E" w:rsidP="008D4EBC">
            <w:pPr>
              <w:rPr>
                <w:rFonts w:ascii="Arial" w:hAnsi="Arial"/>
              </w:rPr>
            </w:pPr>
            <w:r w:rsidRPr="004C1D6E">
              <w:rPr>
                <w:rFonts w:ascii="Arial" w:hAnsi="Arial"/>
              </w:rPr>
              <w:t>Health and Safety at Work Act 1974</w:t>
            </w:r>
          </w:p>
          <w:p w:rsidR="004C1D6E" w:rsidRDefault="004C1D6E" w:rsidP="008D4EBC">
            <w:pPr>
              <w:rPr>
                <w:rFonts w:ascii="Arial" w:hAnsi="Arial"/>
              </w:rPr>
            </w:pPr>
            <w:r w:rsidRPr="004C1D6E">
              <w:rPr>
                <w:rFonts w:ascii="Arial" w:hAnsi="Arial"/>
              </w:rPr>
              <w:t>Management of Health and Safety at Work Regulations 1999</w:t>
            </w:r>
          </w:p>
          <w:p w:rsidR="004C1D6E" w:rsidRDefault="004C1D6E" w:rsidP="004C1D6E">
            <w:pPr>
              <w:rPr>
                <w:rFonts w:ascii="Arial" w:hAnsi="Arial"/>
              </w:rPr>
            </w:pPr>
            <w:r w:rsidRPr="004C1D6E">
              <w:rPr>
                <w:rFonts w:ascii="Arial" w:hAnsi="Arial"/>
              </w:rPr>
              <w:t>Lifting Operations and Lifting Equipment Regulations 1998, and Provision</w:t>
            </w:r>
            <w:r>
              <w:rPr>
                <w:rFonts w:ascii="Arial" w:hAnsi="Arial"/>
              </w:rPr>
              <w:t xml:space="preserve"> </w:t>
            </w:r>
            <w:r w:rsidRPr="004C1D6E">
              <w:rPr>
                <w:rFonts w:ascii="Arial" w:hAnsi="Arial"/>
              </w:rPr>
              <w:t>and Use of Work Equipment Regulations 1998</w:t>
            </w:r>
          </w:p>
          <w:p w:rsidR="008D4EBC" w:rsidRPr="00E73D2F" w:rsidRDefault="008D4EBC" w:rsidP="004C1D6E">
            <w:pPr>
              <w:rPr>
                <w:rFonts w:ascii="Arial" w:hAnsi="Arial"/>
                <w:b/>
              </w:rPr>
            </w:pPr>
          </w:p>
        </w:tc>
      </w:tr>
      <w:tr w:rsidR="00E524AE" w:rsidRPr="00E73D2F" w:rsidTr="00690601">
        <w:trPr>
          <w:trHeight w:val="27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Default="00E524AE" w:rsidP="004C1D6E">
            <w:pPr>
              <w:ind w:left="720" w:hanging="720"/>
              <w:rPr>
                <w:rFonts w:ascii="Arial" w:hAnsi="Arial"/>
              </w:rPr>
            </w:pPr>
            <w:r w:rsidRPr="00E73D2F">
              <w:rPr>
                <w:rFonts w:ascii="Arial" w:hAnsi="Arial"/>
                <w:b/>
              </w:rPr>
              <w:t>Finance:</w:t>
            </w:r>
            <w:r w:rsidR="005D4264">
              <w:rPr>
                <w:rFonts w:ascii="Arial" w:hAnsi="Arial"/>
                <w:b/>
              </w:rPr>
              <w:t xml:space="preserve"> </w:t>
            </w:r>
          </w:p>
          <w:p w:rsidR="004C1D6E" w:rsidRPr="004C1D6E" w:rsidRDefault="004C1D6E" w:rsidP="004C1D6E"/>
          <w:p w:rsidR="004C1D6E" w:rsidRDefault="004C1D6E" w:rsidP="004C1D6E">
            <w:pPr>
              <w:rPr>
                <w:rFonts w:ascii="Arial" w:hAnsi="Arial" w:cs="Arial"/>
              </w:rPr>
            </w:pPr>
            <w:r w:rsidRPr="004C1D6E">
              <w:rPr>
                <w:rFonts w:ascii="Arial" w:hAnsi="Arial" w:cs="Arial"/>
              </w:rPr>
              <w:lastRenderedPageBreak/>
              <w:t>The budget for the Four Seasons sensory and breastfeeding spaces is already identified through the corporate capital budget</w:t>
            </w:r>
          </w:p>
          <w:p w:rsidR="00905995" w:rsidRDefault="00905995" w:rsidP="004C1D6E">
            <w:pPr>
              <w:rPr>
                <w:rFonts w:ascii="Arial" w:hAnsi="Arial" w:cs="Arial"/>
              </w:rPr>
            </w:pPr>
          </w:p>
          <w:p w:rsidR="00905995" w:rsidRPr="00905995" w:rsidRDefault="00905995" w:rsidP="00905995">
            <w:pPr>
              <w:rPr>
                <w:rFonts w:ascii="Arial" w:hAnsi="Arial" w:cs="Arial"/>
              </w:rPr>
            </w:pPr>
            <w:r w:rsidRPr="00905995">
              <w:rPr>
                <w:rFonts w:ascii="Arial" w:hAnsi="Arial" w:cs="Arial"/>
              </w:rPr>
              <w:t>Indicative Budget</w:t>
            </w:r>
            <w:r>
              <w:rPr>
                <w:rFonts w:ascii="Arial" w:hAnsi="Arial" w:cs="Arial"/>
              </w:rPr>
              <w:t xml:space="preserve"> Identified</w:t>
            </w:r>
          </w:p>
          <w:p w:rsidR="00905995" w:rsidRPr="00905995" w:rsidRDefault="00905995" w:rsidP="00905995">
            <w:pPr>
              <w:rPr>
                <w:rFonts w:ascii="Arial" w:hAnsi="Arial" w:cs="Arial"/>
              </w:rPr>
            </w:pPr>
            <w:r w:rsidRPr="00905995">
              <w:rPr>
                <w:rFonts w:ascii="Arial" w:hAnsi="Arial" w:cs="Arial"/>
              </w:rPr>
              <w:t>FOUR SEASONS SHOPPING CENTRE</w:t>
            </w:r>
            <w:r w:rsidRPr="00905995">
              <w:rPr>
                <w:rFonts w:ascii="Arial" w:hAnsi="Arial" w:cs="Arial"/>
              </w:rPr>
              <w:tab/>
            </w:r>
            <w:r>
              <w:rPr>
                <w:rFonts w:ascii="Arial" w:hAnsi="Arial" w:cs="Arial"/>
              </w:rPr>
              <w:t>-</w:t>
            </w:r>
            <w:r w:rsidRPr="00905995">
              <w:rPr>
                <w:rFonts w:ascii="Arial" w:hAnsi="Arial" w:cs="Arial"/>
              </w:rPr>
              <w:t xml:space="preserve"> £77,594.44 </w:t>
            </w:r>
          </w:p>
          <w:p w:rsidR="00905995" w:rsidRPr="00905995" w:rsidRDefault="00905995" w:rsidP="00905995">
            <w:pPr>
              <w:rPr>
                <w:rFonts w:ascii="Arial" w:hAnsi="Arial" w:cs="Arial"/>
              </w:rPr>
            </w:pPr>
            <w:r w:rsidRPr="00905995">
              <w:rPr>
                <w:rFonts w:ascii="Arial" w:hAnsi="Arial" w:cs="Arial"/>
              </w:rPr>
              <w:t xml:space="preserve">MANSFIELD MUSEUM </w:t>
            </w:r>
            <w:r>
              <w:rPr>
                <w:rFonts w:ascii="Arial" w:hAnsi="Arial" w:cs="Arial"/>
              </w:rPr>
              <w:t xml:space="preserve">- </w:t>
            </w:r>
            <w:r w:rsidRPr="00905995">
              <w:rPr>
                <w:rFonts w:ascii="Arial" w:hAnsi="Arial" w:cs="Arial"/>
              </w:rPr>
              <w:t xml:space="preserve">£77,594.44 </w:t>
            </w:r>
          </w:p>
          <w:p w:rsidR="00905995" w:rsidRPr="00905995" w:rsidRDefault="00905995" w:rsidP="00905995">
            <w:pPr>
              <w:rPr>
                <w:rFonts w:ascii="Arial" w:hAnsi="Arial" w:cs="Arial"/>
              </w:rPr>
            </w:pPr>
            <w:r w:rsidRPr="00905995">
              <w:rPr>
                <w:rFonts w:ascii="Arial" w:hAnsi="Arial" w:cs="Arial"/>
              </w:rPr>
              <w:t>BERRY HILL</w:t>
            </w:r>
            <w:r w:rsidRPr="00905995">
              <w:rPr>
                <w:rFonts w:ascii="Arial" w:hAnsi="Arial" w:cs="Arial"/>
              </w:rPr>
              <w:tab/>
            </w:r>
            <w:r>
              <w:rPr>
                <w:rFonts w:ascii="Arial" w:hAnsi="Arial" w:cs="Arial"/>
              </w:rPr>
              <w:t>-</w:t>
            </w:r>
            <w:r w:rsidRPr="00905995">
              <w:rPr>
                <w:rFonts w:ascii="Arial" w:hAnsi="Arial" w:cs="Arial"/>
              </w:rPr>
              <w:t xml:space="preserve"> £60,605.56 </w:t>
            </w:r>
          </w:p>
          <w:p w:rsidR="00905995" w:rsidRPr="00905995" w:rsidRDefault="00905995" w:rsidP="00905995">
            <w:pPr>
              <w:rPr>
                <w:rFonts w:ascii="Arial" w:hAnsi="Arial" w:cs="Arial"/>
              </w:rPr>
            </w:pPr>
            <w:r w:rsidRPr="00905995">
              <w:rPr>
                <w:rFonts w:ascii="Arial" w:hAnsi="Arial" w:cs="Arial"/>
              </w:rPr>
              <w:tab/>
            </w:r>
          </w:p>
          <w:p w:rsidR="00905995" w:rsidRPr="00905995" w:rsidRDefault="00905995" w:rsidP="00905995">
            <w:pPr>
              <w:rPr>
                <w:rFonts w:ascii="Arial" w:hAnsi="Arial" w:cs="Arial"/>
              </w:rPr>
            </w:pPr>
            <w:r>
              <w:rPr>
                <w:rFonts w:ascii="Arial" w:hAnsi="Arial" w:cs="Arial"/>
              </w:rPr>
              <w:t>Grants Identified</w:t>
            </w:r>
          </w:p>
          <w:p w:rsidR="00905995" w:rsidRPr="00905995" w:rsidRDefault="00905995" w:rsidP="00905995">
            <w:pPr>
              <w:rPr>
                <w:rFonts w:ascii="Arial" w:hAnsi="Arial" w:cs="Arial"/>
              </w:rPr>
            </w:pPr>
            <w:r w:rsidRPr="00905995">
              <w:rPr>
                <w:rFonts w:ascii="Arial" w:hAnsi="Arial" w:cs="Arial"/>
              </w:rPr>
              <w:t>NLHF</w:t>
            </w:r>
            <w:r>
              <w:rPr>
                <w:rFonts w:ascii="Arial" w:hAnsi="Arial" w:cs="Arial"/>
              </w:rPr>
              <w:t xml:space="preserve"> -</w:t>
            </w:r>
            <w:r w:rsidRPr="00905995">
              <w:rPr>
                <w:rFonts w:ascii="Arial" w:hAnsi="Arial" w:cs="Arial"/>
              </w:rPr>
              <w:t xml:space="preserve"> £32,594.44 </w:t>
            </w:r>
          </w:p>
          <w:p w:rsidR="004C1D6E" w:rsidRPr="004C1D6E" w:rsidRDefault="00905995" w:rsidP="00905995">
            <w:pPr>
              <w:ind w:left="720" w:hanging="720"/>
              <w:rPr>
                <w:rFonts w:ascii="Arial" w:hAnsi="Arial" w:cs="Arial"/>
              </w:rPr>
            </w:pPr>
            <w:r w:rsidRPr="00905995">
              <w:rPr>
                <w:rFonts w:ascii="Arial" w:hAnsi="Arial" w:cs="Arial"/>
              </w:rPr>
              <w:t>DLUHC</w:t>
            </w:r>
            <w:r>
              <w:rPr>
                <w:rFonts w:ascii="Arial" w:hAnsi="Arial" w:cs="Arial"/>
              </w:rPr>
              <w:t xml:space="preserve"> -</w:t>
            </w:r>
            <w:r w:rsidRPr="00905995">
              <w:rPr>
                <w:rFonts w:ascii="Arial" w:hAnsi="Arial" w:cs="Arial"/>
              </w:rPr>
              <w:t xml:space="preserve"> £183,200.00 </w:t>
            </w:r>
          </w:p>
          <w:p w:rsidR="004C1D6E" w:rsidRPr="00E73D2F" w:rsidRDefault="004C1D6E" w:rsidP="004C1D6E">
            <w:pPr>
              <w:ind w:left="720" w:hanging="720"/>
              <w:rPr>
                <w:rFonts w:ascii="Arial" w:hAnsi="Arial"/>
                <w:b/>
              </w:rPr>
            </w:pPr>
          </w:p>
        </w:tc>
      </w:tr>
      <w:tr w:rsidR="00E524AE" w:rsidRPr="00E73D2F" w:rsidTr="00690601">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HR:</w:t>
            </w:r>
            <w:r w:rsidR="003E3F24" w:rsidRPr="00CE022F">
              <w:rPr>
                <w:rFonts w:ascii="Arial" w:hAnsi="Arial"/>
              </w:rPr>
              <w:t xml:space="preserve"> Not applicable</w:t>
            </w:r>
            <w:bookmarkStart w:id="0" w:name="_GoBack"/>
            <w:bookmarkEnd w:id="0"/>
          </w:p>
          <w:p w:rsidR="00E524AE" w:rsidRPr="00E73D2F" w:rsidRDefault="00E524AE" w:rsidP="003D5331">
            <w:pPr>
              <w:rPr>
                <w:rFonts w:ascii="Arial" w:hAnsi="Arial"/>
                <w:b/>
              </w:rPr>
            </w:pPr>
          </w:p>
        </w:tc>
      </w:tr>
      <w:tr w:rsidR="00E524AE" w:rsidRPr="00E73D2F" w:rsidTr="00690601">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8F26A7" w:rsidRDefault="00E524AE" w:rsidP="00422E4F">
            <w:pPr>
              <w:ind w:left="720" w:hanging="720"/>
              <w:rPr>
                <w:rFonts w:ascii="Arial" w:hAnsi="Arial"/>
              </w:rPr>
            </w:pPr>
            <w:r>
              <w:rPr>
                <w:rFonts w:ascii="Arial" w:hAnsi="Arial"/>
                <w:b/>
              </w:rPr>
              <w:t>Climate Change:</w:t>
            </w:r>
            <w:r w:rsidR="003E3F24" w:rsidRPr="00CE022F">
              <w:rPr>
                <w:rFonts w:ascii="Arial" w:hAnsi="Arial"/>
              </w:rPr>
              <w:t xml:space="preserve"> </w:t>
            </w:r>
            <w:r w:rsidR="00422E4F">
              <w:rPr>
                <w:rFonts w:ascii="Arial" w:hAnsi="Arial"/>
              </w:rPr>
              <w:t xml:space="preserve">Construction to be delivered within the </w:t>
            </w:r>
            <w:r w:rsidR="00422E4F" w:rsidRPr="00422E4F">
              <w:rPr>
                <w:rFonts w:ascii="Arial" w:hAnsi="Arial"/>
              </w:rPr>
              <w:t>Climate Change:</w:t>
            </w:r>
            <w:r w:rsidR="00422E4F">
              <w:rPr>
                <w:rFonts w:ascii="Arial" w:hAnsi="Arial"/>
              </w:rPr>
              <w:t xml:space="preserve"> </w:t>
            </w:r>
            <w:r w:rsidR="00422E4F" w:rsidRPr="00422E4F">
              <w:rPr>
                <w:rFonts w:ascii="Arial" w:hAnsi="Arial"/>
              </w:rPr>
              <w:t>Strategy and Delivery Plan</w:t>
            </w:r>
            <w:r w:rsidR="00422E4F">
              <w:rPr>
                <w:rFonts w:ascii="Arial" w:hAnsi="Arial"/>
              </w:rPr>
              <w:t xml:space="preserve"> objectives</w:t>
            </w:r>
          </w:p>
          <w:p w:rsidR="00E524AE" w:rsidRPr="00E73D2F" w:rsidRDefault="00E524AE" w:rsidP="003D5331">
            <w:pPr>
              <w:rPr>
                <w:rFonts w:ascii="Arial" w:hAnsi="Arial"/>
                <w:b/>
              </w:rPr>
            </w:pPr>
          </w:p>
        </w:tc>
      </w:tr>
      <w:tr w:rsidR="00E524AE" w:rsidRPr="00E73D2F" w:rsidTr="00690601">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Pr>
                <w:rFonts w:ascii="Arial" w:hAnsi="Arial"/>
                <w:b/>
              </w:rPr>
              <w:t>Data Protection:</w:t>
            </w:r>
            <w:r w:rsidR="003E3F24" w:rsidRPr="00CE022F">
              <w:rPr>
                <w:rFonts w:ascii="Arial" w:hAnsi="Arial"/>
              </w:rPr>
              <w:t xml:space="preserve"> Not applicable</w:t>
            </w:r>
          </w:p>
          <w:p w:rsidR="00E524AE" w:rsidRPr="00E73D2F" w:rsidRDefault="00E524AE" w:rsidP="003D5331">
            <w:pPr>
              <w:rPr>
                <w:rFonts w:ascii="Arial" w:hAnsi="Arial"/>
                <w:b/>
              </w:rPr>
            </w:pPr>
          </w:p>
        </w:tc>
      </w:tr>
      <w:tr w:rsidR="00E524AE" w:rsidRPr="00E73D2F" w:rsidTr="00690601">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CE022F" w:rsidRDefault="00E524AE" w:rsidP="00905995">
            <w:pPr>
              <w:rPr>
                <w:rFonts w:ascii="Arial" w:hAnsi="Arial"/>
              </w:rPr>
            </w:pPr>
            <w:r w:rsidRPr="00E524AE">
              <w:rPr>
                <w:rFonts w:ascii="Arial" w:hAnsi="Arial"/>
                <w:b/>
              </w:rPr>
              <w:t>Human Rights:</w:t>
            </w:r>
            <w:r w:rsidR="003E3F24" w:rsidRPr="00CE022F">
              <w:rPr>
                <w:rFonts w:ascii="Arial" w:hAnsi="Arial"/>
              </w:rPr>
              <w:t xml:space="preserve"> </w:t>
            </w:r>
            <w:r w:rsidR="00905995" w:rsidRPr="00905995">
              <w:rPr>
                <w:rFonts w:ascii="Arial" w:hAnsi="Arial"/>
              </w:rPr>
              <w:t xml:space="preserve">Greater prevalence of Changing Places would assist </w:t>
            </w:r>
            <w:r w:rsidR="00905995">
              <w:rPr>
                <w:rFonts w:ascii="Arial" w:hAnsi="Arial"/>
              </w:rPr>
              <w:t>MDC</w:t>
            </w:r>
            <w:r w:rsidR="00905995" w:rsidRPr="00905995">
              <w:rPr>
                <w:rFonts w:ascii="Arial" w:hAnsi="Arial"/>
              </w:rPr>
              <w:t xml:space="preserve"> with the meeting of</w:t>
            </w:r>
            <w:r w:rsidR="00905995">
              <w:rPr>
                <w:rFonts w:ascii="Arial" w:hAnsi="Arial"/>
              </w:rPr>
              <w:t xml:space="preserve"> </w:t>
            </w:r>
            <w:r w:rsidR="00905995" w:rsidRPr="00905995">
              <w:rPr>
                <w:rFonts w:ascii="Arial" w:hAnsi="Arial"/>
              </w:rPr>
              <w:t>people’s community care needs, by enabling a wider range of activities in the community.</w:t>
            </w:r>
          </w:p>
          <w:p w:rsidR="00E524AE" w:rsidRPr="00E524AE" w:rsidRDefault="00E524AE" w:rsidP="003D5331">
            <w:pPr>
              <w:rPr>
                <w:rFonts w:ascii="Arial" w:hAnsi="Arial"/>
                <w:b/>
              </w:rPr>
            </w:pPr>
          </w:p>
        </w:tc>
      </w:tr>
      <w:tr w:rsidR="00E524AE" w:rsidRPr="00E73D2F" w:rsidTr="00690601">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8F26A7" w:rsidRDefault="00E524AE" w:rsidP="003E3BB1">
            <w:pPr>
              <w:ind w:left="720" w:hanging="720"/>
              <w:rPr>
                <w:rFonts w:ascii="Arial" w:hAnsi="Arial"/>
              </w:rPr>
            </w:pPr>
            <w:r w:rsidRPr="00E524AE">
              <w:rPr>
                <w:rFonts w:ascii="Arial" w:hAnsi="Arial"/>
                <w:b/>
              </w:rPr>
              <w:t>Equality and Diversity:</w:t>
            </w:r>
            <w:r w:rsidR="00E74CDA">
              <w:rPr>
                <w:rFonts w:ascii="Arial" w:hAnsi="Arial"/>
                <w:b/>
              </w:rPr>
              <w:t xml:space="preserve"> </w:t>
            </w:r>
            <w:r w:rsidR="008F26A7" w:rsidRPr="008F26A7">
              <w:rPr>
                <w:rFonts w:ascii="Arial" w:hAnsi="Arial"/>
              </w:rPr>
              <w:t xml:space="preserve">– </w:t>
            </w:r>
            <w:r w:rsidR="003E3BB1">
              <w:rPr>
                <w:rFonts w:ascii="Arial" w:hAnsi="Arial"/>
              </w:rPr>
              <w:t>These Changing Places indicate that MDC is</w:t>
            </w:r>
            <w:r w:rsidR="003E3BB1" w:rsidRPr="003E3BB1">
              <w:rPr>
                <w:rFonts w:ascii="Arial" w:hAnsi="Arial"/>
              </w:rPr>
              <w:t xml:space="preserve"> taking positive action to promote</w:t>
            </w:r>
            <w:r w:rsidR="003E3BB1">
              <w:rPr>
                <w:rFonts w:ascii="Arial" w:hAnsi="Arial"/>
              </w:rPr>
              <w:t xml:space="preserve"> </w:t>
            </w:r>
            <w:r w:rsidR="003E3BB1" w:rsidRPr="003E3BB1">
              <w:rPr>
                <w:rFonts w:ascii="Arial" w:hAnsi="Arial"/>
              </w:rPr>
              <w:t>equality of opportunity for disabled people</w:t>
            </w:r>
          </w:p>
          <w:p w:rsidR="00E524AE" w:rsidRPr="00E524AE" w:rsidRDefault="00E524AE" w:rsidP="003F7790">
            <w:pPr>
              <w:rPr>
                <w:rFonts w:ascii="Arial" w:hAnsi="Arial"/>
                <w:b/>
              </w:rPr>
            </w:pPr>
          </w:p>
        </w:tc>
      </w:tr>
      <w:tr w:rsidR="003D5331" w:rsidRPr="00E73D2F" w:rsidTr="00690601">
        <w:trPr>
          <w:trHeight w:val="368"/>
        </w:trPr>
        <w:tc>
          <w:tcPr>
            <w:tcW w:w="1697"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r w:rsidR="00690601">
              <w:rPr>
                <w:rFonts w:ascii="Arial" w:hAnsi="Arial"/>
                <w:b/>
              </w:rPr>
              <w:t xml:space="preserve"> </w:t>
            </w:r>
            <w:r w:rsidR="00690601" w:rsidRPr="00690601">
              <w:rPr>
                <w:rFonts w:ascii="Arial" w:hAnsi="Arial"/>
              </w:rPr>
              <w:t>Not applicable</w:t>
            </w:r>
          </w:p>
          <w:p w:rsidR="00E74CDA" w:rsidRPr="00E73D2F" w:rsidRDefault="00E74CDA" w:rsidP="003D5331">
            <w:pPr>
              <w:rPr>
                <w:rFonts w:ascii="Arial" w:hAnsi="Arial"/>
                <w:b/>
              </w:rPr>
            </w:pPr>
          </w:p>
        </w:tc>
      </w:tr>
      <w:tr w:rsidR="003D5331" w:rsidRPr="00E73D2F" w:rsidTr="00690601">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E74CDA" w:rsidRDefault="00DB689A" w:rsidP="00DB689A">
            <w:pPr>
              <w:rPr>
                <w:rFonts w:ascii="Arial" w:hAnsi="Arial"/>
              </w:rPr>
            </w:pPr>
            <w:r>
              <w:rPr>
                <w:rFonts w:ascii="Arial" w:hAnsi="Arial"/>
                <w:b/>
              </w:rPr>
              <w:t xml:space="preserve">Deputy </w:t>
            </w:r>
            <w:r w:rsidR="003D5331" w:rsidRPr="00E73D2F">
              <w:rPr>
                <w:rFonts w:ascii="Arial" w:hAnsi="Arial"/>
                <w:b/>
              </w:rPr>
              <w:t>Monitoring Officer:</w:t>
            </w:r>
            <w:r w:rsidR="00BE1D97">
              <w:rPr>
                <w:rFonts w:ascii="Arial" w:hAnsi="Arial"/>
                <w:b/>
              </w:rPr>
              <w:t xml:space="preserve"> </w:t>
            </w:r>
            <w:r w:rsidR="009F5D67">
              <w:rPr>
                <w:rFonts w:ascii="Arial" w:hAnsi="Arial"/>
                <w:b/>
              </w:rPr>
              <w:t>None</w:t>
            </w:r>
          </w:p>
          <w:p w:rsidR="00DB689A" w:rsidRPr="00E73D2F" w:rsidRDefault="00DB689A" w:rsidP="00DB689A">
            <w:pPr>
              <w:rPr>
                <w:rFonts w:ascii="Arial" w:hAnsi="Arial"/>
                <w:b/>
              </w:rPr>
            </w:pPr>
          </w:p>
        </w:tc>
      </w:tr>
      <w:tr w:rsidR="003D5331" w:rsidRPr="00E73D2F" w:rsidTr="00690601">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E73D2F" w:rsidRDefault="00DB689A" w:rsidP="00905995">
            <w:pPr>
              <w:rPr>
                <w:rFonts w:ascii="Arial" w:hAnsi="Arial"/>
                <w:b/>
              </w:rPr>
            </w:pPr>
            <w:r>
              <w:rPr>
                <w:rFonts w:ascii="Arial" w:hAnsi="Arial"/>
                <w:b/>
              </w:rPr>
              <w:t xml:space="preserve">Deputy </w:t>
            </w:r>
            <w:r w:rsidR="003D5331" w:rsidRPr="00E73D2F">
              <w:rPr>
                <w:rFonts w:ascii="Arial" w:hAnsi="Arial"/>
                <w:b/>
              </w:rPr>
              <w:t>Section 151 Officer:</w:t>
            </w:r>
            <w:r w:rsidR="00BE1D97" w:rsidRPr="002B4348">
              <w:rPr>
                <w:rFonts w:ascii="Arial" w:hAnsi="Arial"/>
              </w:rPr>
              <w:t xml:space="preserve"> </w:t>
            </w:r>
            <w:r w:rsidR="00B77411">
              <w:rPr>
                <w:rFonts w:ascii="Arial" w:hAnsi="Arial"/>
              </w:rPr>
              <w:t>None</w:t>
            </w:r>
          </w:p>
        </w:tc>
      </w:tr>
      <w:tr w:rsidR="00046933" w:rsidRPr="00E73D2F" w:rsidTr="00690601">
        <w:tc>
          <w:tcPr>
            <w:tcW w:w="1697" w:type="dxa"/>
            <w:shd w:val="clear" w:color="auto" w:fill="auto"/>
          </w:tcPr>
          <w:p w:rsidR="00046933" w:rsidRPr="00690601" w:rsidRDefault="00046933" w:rsidP="00E73D2F">
            <w:pPr>
              <w:ind w:right="-109"/>
              <w:rPr>
                <w:rFonts w:ascii="Arial" w:hAnsi="Arial"/>
                <w:b/>
              </w:rPr>
            </w:pPr>
            <w:r w:rsidRPr="00E73D2F">
              <w:rPr>
                <w:rFonts w:ascii="Arial" w:hAnsi="Arial"/>
                <w:b/>
              </w:rPr>
              <w:t>Signature of Decision Taker:</w:t>
            </w:r>
          </w:p>
        </w:tc>
        <w:tc>
          <w:tcPr>
            <w:tcW w:w="7418" w:type="dxa"/>
            <w:gridSpan w:val="2"/>
            <w:shd w:val="clear" w:color="auto" w:fill="auto"/>
          </w:tcPr>
          <w:p w:rsidR="005036B0" w:rsidRDefault="005036B0" w:rsidP="003D5331">
            <w:pPr>
              <w:rPr>
                <w:rFonts w:ascii="Arial" w:hAnsi="Arial" w:cs="Arial"/>
                <w:b/>
                <w:noProof/>
              </w:rPr>
            </w:pPr>
          </w:p>
          <w:p w:rsidR="005A5162" w:rsidRDefault="00422E4F" w:rsidP="003D5331">
            <w:pPr>
              <w:rPr>
                <w:rFonts w:ascii="Arial" w:hAnsi="Arial" w:cs="Arial"/>
                <w:b/>
                <w:noProof/>
              </w:rPr>
            </w:pPr>
            <w:r>
              <w:rPr>
                <w:rFonts w:ascii="Arial" w:hAnsi="Arial" w:cs="Arial"/>
                <w:b/>
                <w:noProof/>
              </w:rPr>
              <w:t>Sarah Troman, Head of Neighbourhood Services</w:t>
            </w:r>
          </w:p>
          <w:p w:rsidR="00473910" w:rsidRPr="005A5162" w:rsidRDefault="00473910" w:rsidP="003D5331">
            <w:pPr>
              <w:rPr>
                <w:rFonts w:ascii="Arial" w:hAnsi="Arial" w:cs="Arial"/>
                <w:b/>
              </w:rPr>
            </w:pPr>
            <w:r>
              <w:rPr>
                <w:rFonts w:ascii="Arial" w:hAnsi="Arial" w:cs="Arial"/>
                <w:b/>
                <w:noProof/>
              </w:rPr>
              <w:t>David Evans, Head of Health and Communities</w:t>
            </w:r>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DAA" w:rsidRDefault="00AD5DAA">
      <w:r>
        <w:separator/>
      </w:r>
    </w:p>
  </w:endnote>
  <w:endnote w:type="continuationSeparator" w:id="0">
    <w:p w:rsidR="00AD5DAA" w:rsidRDefault="00AD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DAA" w:rsidRDefault="00AD5DAA">
      <w:r>
        <w:separator/>
      </w:r>
    </w:p>
  </w:footnote>
  <w:footnote w:type="continuationSeparator" w:id="0">
    <w:p w:rsidR="00AD5DAA" w:rsidRDefault="00AD5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D17C42"/>
    <w:multiLevelType w:val="hybridMultilevel"/>
    <w:tmpl w:val="943C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B4049"/>
    <w:multiLevelType w:val="hybridMultilevel"/>
    <w:tmpl w:val="D96C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156FB"/>
    <w:rsid w:val="00020A02"/>
    <w:rsid w:val="00046933"/>
    <w:rsid w:val="000511FB"/>
    <w:rsid w:val="000553E6"/>
    <w:rsid w:val="00060869"/>
    <w:rsid w:val="00064786"/>
    <w:rsid w:val="00074554"/>
    <w:rsid w:val="00077ABD"/>
    <w:rsid w:val="000C2E4B"/>
    <w:rsid w:val="000C7A93"/>
    <w:rsid w:val="000D7D27"/>
    <w:rsid w:val="000F202C"/>
    <w:rsid w:val="00122023"/>
    <w:rsid w:val="00122ABA"/>
    <w:rsid w:val="00136429"/>
    <w:rsid w:val="00154649"/>
    <w:rsid w:val="00165587"/>
    <w:rsid w:val="0017005D"/>
    <w:rsid w:val="00191268"/>
    <w:rsid w:val="001A4542"/>
    <w:rsid w:val="001B24B6"/>
    <w:rsid w:val="001C45E0"/>
    <w:rsid w:val="001D0E54"/>
    <w:rsid w:val="001E73CC"/>
    <w:rsid w:val="00284ECD"/>
    <w:rsid w:val="002A2774"/>
    <w:rsid w:val="002B4348"/>
    <w:rsid w:val="002D6E1E"/>
    <w:rsid w:val="002E4C1F"/>
    <w:rsid w:val="002E566A"/>
    <w:rsid w:val="002F1141"/>
    <w:rsid w:val="00353A11"/>
    <w:rsid w:val="00362485"/>
    <w:rsid w:val="00362D1E"/>
    <w:rsid w:val="00373837"/>
    <w:rsid w:val="003A04B0"/>
    <w:rsid w:val="003A7A26"/>
    <w:rsid w:val="003D1D53"/>
    <w:rsid w:val="003D1EFF"/>
    <w:rsid w:val="003D5331"/>
    <w:rsid w:val="003D69CA"/>
    <w:rsid w:val="003E3BB1"/>
    <w:rsid w:val="003E3F24"/>
    <w:rsid w:val="003F7790"/>
    <w:rsid w:val="00412D83"/>
    <w:rsid w:val="00422E4F"/>
    <w:rsid w:val="004251A2"/>
    <w:rsid w:val="004437AD"/>
    <w:rsid w:val="00473910"/>
    <w:rsid w:val="004750BB"/>
    <w:rsid w:val="004A4D03"/>
    <w:rsid w:val="004C1D6E"/>
    <w:rsid w:val="005036B0"/>
    <w:rsid w:val="0051799C"/>
    <w:rsid w:val="00557B22"/>
    <w:rsid w:val="00586F20"/>
    <w:rsid w:val="00594B34"/>
    <w:rsid w:val="005A5162"/>
    <w:rsid w:val="005D06E0"/>
    <w:rsid w:val="005D0EE2"/>
    <w:rsid w:val="005D4264"/>
    <w:rsid w:val="005E495E"/>
    <w:rsid w:val="005F66FF"/>
    <w:rsid w:val="00616F9A"/>
    <w:rsid w:val="00640F4F"/>
    <w:rsid w:val="006762D7"/>
    <w:rsid w:val="00683C20"/>
    <w:rsid w:val="00690601"/>
    <w:rsid w:val="00693778"/>
    <w:rsid w:val="006C36F8"/>
    <w:rsid w:val="006D373A"/>
    <w:rsid w:val="006F3EC8"/>
    <w:rsid w:val="00721168"/>
    <w:rsid w:val="00762D5A"/>
    <w:rsid w:val="00771E5A"/>
    <w:rsid w:val="00793D98"/>
    <w:rsid w:val="007B7BFB"/>
    <w:rsid w:val="00813513"/>
    <w:rsid w:val="008256AE"/>
    <w:rsid w:val="00867E3B"/>
    <w:rsid w:val="008D4114"/>
    <w:rsid w:val="008D4EBC"/>
    <w:rsid w:val="008F26A7"/>
    <w:rsid w:val="008F592F"/>
    <w:rsid w:val="00905995"/>
    <w:rsid w:val="00957E23"/>
    <w:rsid w:val="00993D2B"/>
    <w:rsid w:val="009B6FB1"/>
    <w:rsid w:val="009C25B2"/>
    <w:rsid w:val="009C3E0D"/>
    <w:rsid w:val="009D72AA"/>
    <w:rsid w:val="009E4675"/>
    <w:rsid w:val="009F5D67"/>
    <w:rsid w:val="00A51BBE"/>
    <w:rsid w:val="00A56397"/>
    <w:rsid w:val="00A64365"/>
    <w:rsid w:val="00A91405"/>
    <w:rsid w:val="00AD1690"/>
    <w:rsid w:val="00AD5DAA"/>
    <w:rsid w:val="00AD66F1"/>
    <w:rsid w:val="00AE68C9"/>
    <w:rsid w:val="00AF2AD2"/>
    <w:rsid w:val="00B01B98"/>
    <w:rsid w:val="00B12AB2"/>
    <w:rsid w:val="00B22BFF"/>
    <w:rsid w:val="00B62525"/>
    <w:rsid w:val="00B753EC"/>
    <w:rsid w:val="00B77411"/>
    <w:rsid w:val="00BA12C8"/>
    <w:rsid w:val="00BB1318"/>
    <w:rsid w:val="00BB48D6"/>
    <w:rsid w:val="00BE1D97"/>
    <w:rsid w:val="00C029CD"/>
    <w:rsid w:val="00C12B93"/>
    <w:rsid w:val="00C2084A"/>
    <w:rsid w:val="00C32E09"/>
    <w:rsid w:val="00C355BD"/>
    <w:rsid w:val="00C61517"/>
    <w:rsid w:val="00C870DA"/>
    <w:rsid w:val="00CE022F"/>
    <w:rsid w:val="00CE5E44"/>
    <w:rsid w:val="00CE76F0"/>
    <w:rsid w:val="00D16AEE"/>
    <w:rsid w:val="00D2046C"/>
    <w:rsid w:val="00D70FF0"/>
    <w:rsid w:val="00DB4772"/>
    <w:rsid w:val="00DB689A"/>
    <w:rsid w:val="00DD4E67"/>
    <w:rsid w:val="00DE0D0E"/>
    <w:rsid w:val="00DF5B3E"/>
    <w:rsid w:val="00DF795C"/>
    <w:rsid w:val="00E02EFB"/>
    <w:rsid w:val="00E34122"/>
    <w:rsid w:val="00E4397C"/>
    <w:rsid w:val="00E46DDB"/>
    <w:rsid w:val="00E524AE"/>
    <w:rsid w:val="00E73048"/>
    <w:rsid w:val="00E73D2F"/>
    <w:rsid w:val="00E74CDA"/>
    <w:rsid w:val="00EA57CD"/>
    <w:rsid w:val="00EE35DD"/>
    <w:rsid w:val="00F50186"/>
    <w:rsid w:val="00FB3924"/>
    <w:rsid w:val="00FB4949"/>
    <w:rsid w:val="00FC6AFD"/>
    <w:rsid w:val="00FD7774"/>
    <w:rsid w:val="00FF5729"/>
    <w:rsid w:val="00FF5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F2E6F"/>
  <w15:chartTrackingRefBased/>
  <w15:docId w15:val="{82ADF225-945A-4D3A-9397-9F2FABA7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8484">
      <w:bodyDiv w:val="1"/>
      <w:marLeft w:val="0"/>
      <w:marRight w:val="0"/>
      <w:marTop w:val="0"/>
      <w:marBottom w:val="0"/>
      <w:divBdr>
        <w:top w:val="none" w:sz="0" w:space="0" w:color="auto"/>
        <w:left w:val="none" w:sz="0" w:space="0" w:color="auto"/>
        <w:bottom w:val="none" w:sz="0" w:space="0" w:color="auto"/>
        <w:right w:val="none" w:sz="0" w:space="0" w:color="auto"/>
      </w:divBdr>
    </w:div>
    <w:div w:id="648946931">
      <w:bodyDiv w:val="1"/>
      <w:marLeft w:val="0"/>
      <w:marRight w:val="0"/>
      <w:marTop w:val="0"/>
      <w:marBottom w:val="0"/>
      <w:divBdr>
        <w:top w:val="none" w:sz="0" w:space="0" w:color="auto"/>
        <w:left w:val="none" w:sz="0" w:space="0" w:color="auto"/>
        <w:bottom w:val="none" w:sz="0" w:space="0" w:color="auto"/>
        <w:right w:val="none" w:sz="0" w:space="0" w:color="auto"/>
      </w:divBdr>
    </w:div>
    <w:div w:id="751050786">
      <w:bodyDiv w:val="1"/>
      <w:marLeft w:val="0"/>
      <w:marRight w:val="0"/>
      <w:marTop w:val="0"/>
      <w:marBottom w:val="0"/>
      <w:divBdr>
        <w:top w:val="none" w:sz="0" w:space="0" w:color="auto"/>
        <w:left w:val="none" w:sz="0" w:space="0" w:color="auto"/>
        <w:bottom w:val="none" w:sz="0" w:space="0" w:color="auto"/>
        <w:right w:val="none" w:sz="0" w:space="0" w:color="auto"/>
      </w:divBdr>
    </w:div>
    <w:div w:id="874730226">
      <w:bodyDiv w:val="1"/>
      <w:marLeft w:val="0"/>
      <w:marRight w:val="0"/>
      <w:marTop w:val="0"/>
      <w:marBottom w:val="0"/>
      <w:divBdr>
        <w:top w:val="none" w:sz="0" w:space="0" w:color="auto"/>
        <w:left w:val="none" w:sz="0" w:space="0" w:color="auto"/>
        <w:bottom w:val="none" w:sz="0" w:space="0" w:color="auto"/>
        <w:right w:val="none" w:sz="0" w:space="0" w:color="auto"/>
      </w:divBdr>
    </w:div>
    <w:div w:id="875433701">
      <w:bodyDiv w:val="1"/>
      <w:marLeft w:val="0"/>
      <w:marRight w:val="0"/>
      <w:marTop w:val="0"/>
      <w:marBottom w:val="0"/>
      <w:divBdr>
        <w:top w:val="none" w:sz="0" w:space="0" w:color="auto"/>
        <w:left w:val="none" w:sz="0" w:space="0" w:color="auto"/>
        <w:bottom w:val="none" w:sz="0" w:space="0" w:color="auto"/>
        <w:right w:val="none" w:sz="0" w:space="0" w:color="auto"/>
      </w:divBdr>
    </w:div>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195729244">
      <w:bodyDiv w:val="1"/>
      <w:marLeft w:val="0"/>
      <w:marRight w:val="0"/>
      <w:marTop w:val="0"/>
      <w:marBottom w:val="0"/>
      <w:divBdr>
        <w:top w:val="none" w:sz="0" w:space="0" w:color="auto"/>
        <w:left w:val="none" w:sz="0" w:space="0" w:color="auto"/>
        <w:bottom w:val="none" w:sz="0" w:space="0" w:color="auto"/>
        <w:right w:val="none" w:sz="0" w:space="0" w:color="auto"/>
      </w:divBdr>
    </w:div>
    <w:div w:id="1258363258">
      <w:bodyDiv w:val="1"/>
      <w:marLeft w:val="0"/>
      <w:marRight w:val="0"/>
      <w:marTop w:val="0"/>
      <w:marBottom w:val="0"/>
      <w:divBdr>
        <w:top w:val="none" w:sz="0" w:space="0" w:color="auto"/>
        <w:left w:val="none" w:sz="0" w:space="0" w:color="auto"/>
        <w:bottom w:val="none" w:sz="0" w:space="0" w:color="auto"/>
        <w:right w:val="none" w:sz="0" w:space="0" w:color="auto"/>
      </w:divBdr>
    </w:div>
    <w:div w:id="1406144896">
      <w:bodyDiv w:val="1"/>
      <w:marLeft w:val="0"/>
      <w:marRight w:val="0"/>
      <w:marTop w:val="0"/>
      <w:marBottom w:val="0"/>
      <w:divBdr>
        <w:top w:val="none" w:sz="0" w:space="0" w:color="auto"/>
        <w:left w:val="none" w:sz="0" w:space="0" w:color="auto"/>
        <w:bottom w:val="none" w:sz="0" w:space="0" w:color="auto"/>
        <w:right w:val="none" w:sz="0" w:space="0" w:color="auto"/>
      </w:divBdr>
    </w:div>
    <w:div w:id="1622880710">
      <w:bodyDiv w:val="1"/>
      <w:marLeft w:val="0"/>
      <w:marRight w:val="0"/>
      <w:marTop w:val="0"/>
      <w:marBottom w:val="0"/>
      <w:divBdr>
        <w:top w:val="none" w:sz="0" w:space="0" w:color="auto"/>
        <w:left w:val="none" w:sz="0" w:space="0" w:color="auto"/>
        <w:bottom w:val="none" w:sz="0" w:space="0" w:color="auto"/>
        <w:right w:val="none" w:sz="0" w:space="0" w:color="auto"/>
      </w:divBdr>
    </w:div>
    <w:div w:id="1820076495">
      <w:bodyDiv w:val="1"/>
      <w:marLeft w:val="0"/>
      <w:marRight w:val="0"/>
      <w:marTop w:val="0"/>
      <w:marBottom w:val="0"/>
      <w:divBdr>
        <w:top w:val="none" w:sz="0" w:space="0" w:color="auto"/>
        <w:left w:val="none" w:sz="0" w:space="0" w:color="auto"/>
        <w:bottom w:val="none" w:sz="0" w:space="0" w:color="auto"/>
        <w:right w:val="none" w:sz="0" w:space="0" w:color="auto"/>
      </w:divBdr>
      <w:divsChild>
        <w:div w:id="168915474">
          <w:marLeft w:val="0"/>
          <w:marRight w:val="0"/>
          <w:marTop w:val="0"/>
          <w:marBottom w:val="0"/>
          <w:divBdr>
            <w:top w:val="none" w:sz="0" w:space="0" w:color="auto"/>
            <w:left w:val="none" w:sz="0" w:space="0" w:color="auto"/>
            <w:bottom w:val="none" w:sz="0" w:space="0" w:color="auto"/>
            <w:right w:val="none" w:sz="0" w:space="0" w:color="auto"/>
          </w:divBdr>
        </w:div>
        <w:div w:id="913471739">
          <w:marLeft w:val="0"/>
          <w:marRight w:val="0"/>
          <w:marTop w:val="0"/>
          <w:marBottom w:val="0"/>
          <w:divBdr>
            <w:top w:val="none" w:sz="0" w:space="0" w:color="auto"/>
            <w:left w:val="none" w:sz="0" w:space="0" w:color="auto"/>
            <w:bottom w:val="none" w:sz="0" w:space="0" w:color="auto"/>
            <w:right w:val="none" w:sz="0" w:space="0" w:color="auto"/>
          </w:divBdr>
          <w:divsChild>
            <w:div w:id="1639191588">
              <w:marLeft w:val="0"/>
              <w:marRight w:val="0"/>
              <w:marTop w:val="0"/>
              <w:marBottom w:val="0"/>
              <w:divBdr>
                <w:top w:val="none" w:sz="0" w:space="0" w:color="auto"/>
                <w:left w:val="none" w:sz="0" w:space="0" w:color="auto"/>
                <w:bottom w:val="none" w:sz="0" w:space="0" w:color="auto"/>
                <w:right w:val="none" w:sz="0" w:space="0" w:color="auto"/>
              </w:divBdr>
              <w:divsChild>
                <w:div w:id="1326930422">
                  <w:marLeft w:val="0"/>
                  <w:marRight w:val="0"/>
                  <w:marTop w:val="0"/>
                  <w:marBottom w:val="0"/>
                  <w:divBdr>
                    <w:top w:val="none" w:sz="0" w:space="0" w:color="auto"/>
                    <w:left w:val="none" w:sz="0" w:space="0" w:color="auto"/>
                    <w:bottom w:val="none" w:sz="0" w:space="0" w:color="auto"/>
                    <w:right w:val="none" w:sz="0" w:space="0" w:color="auto"/>
                  </w:divBdr>
                  <w:divsChild>
                    <w:div w:id="10148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 w:id="21226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3956</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dcterms:created xsi:type="dcterms:W3CDTF">2022-06-07T13:13:00Z</dcterms:created>
  <dcterms:modified xsi:type="dcterms:W3CDTF">2022-06-07T13:19:00Z</dcterms:modified>
</cp:coreProperties>
</file>